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黑体" w:hAnsi="宋体" w:eastAsia="黑体"/>
          <w:bCs/>
          <w:color w:val="000000"/>
          <w:kern w:val="0"/>
          <w:sz w:val="36"/>
          <w:szCs w:val="36"/>
        </w:rPr>
      </w:pPr>
      <w:bookmarkStart w:id="0" w:name="_Hlk126177924"/>
      <w:r>
        <w:rPr>
          <w:rFonts w:hint="eastAsia" w:ascii="黑体" w:hAnsi="宋体" w:eastAsia="黑体"/>
          <w:bCs/>
          <w:color w:val="000000"/>
          <w:kern w:val="0"/>
          <w:sz w:val="36"/>
          <w:szCs w:val="36"/>
        </w:rPr>
        <w:t>济南110kV中赵输变电工程</w:t>
      </w:r>
    </w:p>
    <w:p>
      <w:pPr>
        <w:widowControl/>
        <w:jc w:val="center"/>
        <w:rPr>
          <w:color w:val="000000"/>
        </w:rPr>
      </w:pPr>
      <w:r>
        <w:rPr>
          <w:rFonts w:hint="eastAsia" w:ascii="黑体" w:hAnsi="宋体" w:eastAsia="黑体"/>
          <w:color w:val="000000"/>
          <w:kern w:val="0"/>
          <w:sz w:val="36"/>
          <w:szCs w:val="36"/>
        </w:rPr>
        <w:t>竣工环境保护验收工作组意见</w:t>
      </w:r>
    </w:p>
    <w:bookmarkEnd w:id="0"/>
    <w:p>
      <w:pPr>
        <w:widowControl/>
        <w:spacing w:line="360" w:lineRule="auto"/>
        <w:ind w:firstLine="480" w:firstLineChars="200"/>
        <w:jc w:val="left"/>
        <w:rPr>
          <w:rFonts w:ascii="宋体" w:hAnsi="宋体" w:cs="宋体"/>
          <w:color w:val="000000"/>
          <w:kern w:val="0"/>
          <w:sz w:val="24"/>
          <w:highlight w:val="yellow"/>
        </w:rPr>
      </w:pPr>
    </w:p>
    <w:p>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202</w:t>
      </w:r>
      <w:r>
        <w:rPr>
          <w:rFonts w:ascii="宋体" w:hAnsi="宋体" w:cs="宋体"/>
          <w:color w:val="000000"/>
          <w:kern w:val="0"/>
          <w:sz w:val="24"/>
        </w:rPr>
        <w:t>3</w:t>
      </w:r>
      <w:r>
        <w:rPr>
          <w:rFonts w:hint="eastAsia" w:ascii="宋体" w:hAnsi="宋体" w:cs="宋体"/>
          <w:color w:val="000000"/>
          <w:kern w:val="0"/>
          <w:sz w:val="24"/>
        </w:rPr>
        <w:t>年</w:t>
      </w:r>
      <w:r>
        <w:rPr>
          <w:rFonts w:ascii="宋体" w:hAnsi="宋体" w:cs="宋体"/>
          <w:color w:val="000000"/>
          <w:kern w:val="0"/>
          <w:sz w:val="24"/>
        </w:rPr>
        <w:t>4</w:t>
      </w:r>
      <w:r>
        <w:rPr>
          <w:rFonts w:hint="eastAsia" w:ascii="宋体" w:hAnsi="宋体" w:cs="宋体"/>
          <w:color w:val="000000"/>
          <w:kern w:val="0"/>
          <w:sz w:val="24"/>
        </w:rPr>
        <w:t>月</w:t>
      </w:r>
      <w:r>
        <w:rPr>
          <w:rFonts w:ascii="宋体" w:hAnsi="宋体" w:cs="宋体"/>
          <w:color w:val="000000"/>
          <w:kern w:val="0"/>
          <w:sz w:val="24"/>
        </w:rPr>
        <w:t>7</w:t>
      </w:r>
      <w:r>
        <w:rPr>
          <w:rFonts w:hint="eastAsia" w:ascii="宋体" w:hAnsi="宋体" w:cs="宋体"/>
          <w:color w:val="000000"/>
          <w:kern w:val="0"/>
          <w:sz w:val="24"/>
        </w:rPr>
        <w:t>日，国网山东省电力公司济南供电公司组织召开了</w:t>
      </w:r>
      <w:r>
        <w:rPr>
          <w:rFonts w:ascii="宋体" w:hAnsi="宋体" w:cs="宋体"/>
          <w:bCs/>
          <w:color w:val="000000"/>
          <w:kern w:val="0"/>
          <w:sz w:val="24"/>
        </w:rPr>
        <w:t>济南110kV中赵输变电工程</w:t>
      </w:r>
      <w:r>
        <w:rPr>
          <w:rFonts w:hint="eastAsia" w:ascii="宋体" w:hAnsi="宋体" w:cs="宋体"/>
          <w:color w:val="000000"/>
          <w:kern w:val="0"/>
          <w:sz w:val="24"/>
        </w:rPr>
        <w:t>竣工环境保护验收工作组会议。参加会议的有验收调查单位</w:t>
      </w:r>
      <w:r>
        <w:rPr>
          <w:rFonts w:hint="eastAsia" w:ascii="宋体" w:hAnsi="宋体" w:cs="宋体"/>
          <w:color w:val="000000"/>
          <w:kern w:val="0"/>
          <w:sz w:val="24"/>
          <w:lang w:val="en-US" w:eastAsia="zh-CN"/>
        </w:rPr>
        <w:t>(监测单位</w:t>
      </w:r>
      <w:r>
        <w:rPr>
          <w:rFonts w:hint="eastAsia" w:ascii="宋体" w:hAnsi="宋体"/>
          <w:bCs/>
          <w:sz w:val="24"/>
          <w:lang w:val="en-US" w:eastAsia="zh-CN"/>
        </w:rPr>
        <w:t>)山</w:t>
      </w:r>
      <w:r>
        <w:rPr>
          <w:rFonts w:hint="eastAsia" w:ascii="宋体" w:hAnsi="宋体"/>
          <w:bCs/>
          <w:sz w:val="24"/>
        </w:rPr>
        <w:t>东丹波尔环境科技有限公司</w:t>
      </w:r>
      <w:r>
        <w:rPr>
          <w:rFonts w:hint="eastAsia" w:ascii="宋体" w:hAnsi="宋体" w:cs="宋体"/>
          <w:color w:val="000000"/>
          <w:kern w:val="0"/>
          <w:sz w:val="24"/>
        </w:rPr>
        <w:t>的有关人员，会议邀请三位专家，组成验收工作组（名单附后）。</w:t>
      </w:r>
    </w:p>
    <w:p>
      <w:pPr>
        <w:widowControl/>
        <w:spacing w:line="360" w:lineRule="auto"/>
        <w:ind w:firstLine="480" w:firstLineChars="200"/>
        <w:jc w:val="left"/>
        <w:rPr>
          <w:rFonts w:ascii="宋体" w:hAnsi="宋体"/>
          <w:bCs/>
          <w:sz w:val="24"/>
        </w:rPr>
      </w:pPr>
      <w:bookmarkStart w:id="1" w:name="_GoBack"/>
      <w:bookmarkEnd w:id="1"/>
      <w:r>
        <w:rPr>
          <w:rFonts w:hint="eastAsia" w:ascii="宋体" w:hAnsi="宋体" w:cs="宋体"/>
          <w:color w:val="000000"/>
          <w:kern w:val="0"/>
          <w:sz w:val="24"/>
        </w:rPr>
        <w:t xml:space="preserve">会议期间，建设单位介绍了项目建设情况，验收调查单位汇报了项目环境保护措施落实情况、竣工环境保护验收监测及环境管理情况。经审阅资料和认真讨论，形成验收工作组意见如下： </w:t>
      </w:r>
    </w:p>
    <w:p>
      <w:pPr>
        <w:widowControl/>
        <w:numPr>
          <w:ilvl w:val="0"/>
          <w:numId w:val="2"/>
        </w:numPr>
        <w:spacing w:line="360" w:lineRule="auto"/>
        <w:jc w:val="left"/>
        <w:rPr>
          <w:rFonts w:ascii="宋体" w:hAnsi="宋体" w:cs="宋体"/>
          <w:b/>
          <w:bCs/>
          <w:color w:val="000000"/>
          <w:kern w:val="0"/>
          <w:sz w:val="24"/>
        </w:rPr>
      </w:pPr>
      <w:r>
        <w:rPr>
          <w:rFonts w:hint="eastAsia" w:ascii="宋体" w:hAnsi="宋体" w:cs="宋体"/>
          <w:b/>
          <w:bCs/>
          <w:color w:val="000000"/>
          <w:kern w:val="0"/>
          <w:sz w:val="24"/>
        </w:rPr>
        <w:t>项目基本情况</w:t>
      </w:r>
    </w:p>
    <w:p>
      <w:pPr>
        <w:spacing w:line="360" w:lineRule="auto"/>
        <w:ind w:firstLine="480" w:firstLineChars="200"/>
        <w:rPr>
          <w:rFonts w:hint="eastAsia" w:hAnsi="宋体" w:eastAsia="宋体"/>
          <w:bCs/>
          <w:sz w:val="24"/>
          <w:lang w:eastAsia="zh-CN"/>
        </w:rPr>
      </w:pPr>
      <w:r>
        <w:rPr>
          <w:rFonts w:hint="eastAsia" w:ascii="宋体" w:hAnsi="宋体"/>
          <w:sz w:val="24"/>
        </w:rPr>
        <w:t>济南110kV中赵输变电工程环境影响报告表于2018年7月10日由</w:t>
      </w:r>
      <w:r>
        <w:rPr>
          <w:rFonts w:hint="eastAsia" w:ascii="宋体" w:hAnsi="宋体"/>
          <w:sz w:val="24"/>
          <w:lang w:val="en-US" w:eastAsia="zh-CN"/>
        </w:rPr>
        <w:t>原</w:t>
      </w:r>
      <w:r>
        <w:rPr>
          <w:rFonts w:hint="eastAsia" w:ascii="宋体" w:hAnsi="宋体"/>
          <w:sz w:val="24"/>
        </w:rPr>
        <w:t>济南市环境保护局以济环辐表审[2018]18号文件</w:t>
      </w:r>
      <w:r>
        <w:rPr>
          <w:rFonts w:hint="eastAsia" w:ascii="宋体" w:hAnsi="宋体"/>
          <w:bCs/>
          <w:sz w:val="24"/>
        </w:rPr>
        <w:t>审批通过。</w:t>
      </w:r>
      <w:r>
        <w:rPr>
          <w:rFonts w:hint="eastAsia" w:ascii="宋体" w:hAnsi="宋体" w:cs="宋体"/>
          <w:sz w:val="24"/>
        </w:rPr>
        <w:t>本工程</w:t>
      </w:r>
      <w:r>
        <w:rPr>
          <w:rFonts w:hint="eastAsia" w:ascii="宋体" w:hAnsi="宋体"/>
          <w:sz w:val="24"/>
        </w:rPr>
        <w:t>验收内容为</w:t>
      </w:r>
      <w:r>
        <w:rPr>
          <w:rFonts w:hint="eastAsia" w:ascii="宋体" w:hAnsi="宋体"/>
          <w:sz w:val="24"/>
          <w:lang w:val="en-US" w:eastAsia="zh-CN"/>
        </w:rPr>
        <w:t>新建</w:t>
      </w:r>
      <w:r>
        <w:rPr>
          <w:rFonts w:hint="eastAsia" w:ascii="宋体" w:hAnsi="宋体" w:cs="宋体"/>
          <w:sz w:val="24"/>
        </w:rPr>
        <w:t>110kV中赵站及110kV输电线路，新建2台</w:t>
      </w:r>
      <w:r>
        <w:rPr>
          <w:rFonts w:ascii="宋体" w:hAnsi="宋体" w:cs="宋体"/>
          <w:sz w:val="24"/>
        </w:rPr>
        <w:t>63MVA</w:t>
      </w:r>
      <w:r>
        <w:rPr>
          <w:rFonts w:hint="eastAsia" w:ascii="宋体" w:hAnsi="宋体" w:cs="宋体"/>
          <w:sz w:val="24"/>
        </w:rPr>
        <w:t>主变（1#主变、2#主变），变压器电压等级均为110</w:t>
      </w:r>
      <w:r>
        <w:rPr>
          <w:rFonts w:ascii="宋体" w:hAnsi="宋体" w:cs="宋体"/>
          <w:sz w:val="24"/>
        </w:rPr>
        <w:t>/</w:t>
      </w:r>
      <w:r>
        <w:rPr>
          <w:rFonts w:hint="eastAsia" w:ascii="宋体" w:hAnsi="宋体" w:cs="宋体"/>
          <w:sz w:val="24"/>
        </w:rPr>
        <w:t>10k</w:t>
      </w:r>
      <w:r>
        <w:rPr>
          <w:rFonts w:ascii="宋体" w:hAnsi="宋体" w:cs="宋体"/>
          <w:sz w:val="24"/>
        </w:rPr>
        <w:t>V</w:t>
      </w:r>
      <w:r>
        <w:rPr>
          <w:rFonts w:hint="eastAsia" w:ascii="宋体" w:hAnsi="宋体" w:cs="宋体"/>
          <w:sz w:val="24"/>
        </w:rPr>
        <w:t>，主变压器户内布置，110k</w:t>
      </w:r>
      <w:r>
        <w:rPr>
          <w:rFonts w:ascii="宋体" w:hAnsi="宋体" w:cs="宋体"/>
          <w:sz w:val="24"/>
        </w:rPr>
        <w:t>V</w:t>
      </w:r>
      <w:r>
        <w:rPr>
          <w:rFonts w:hint="eastAsia" w:ascii="宋体" w:hAnsi="宋体" w:cs="宋体"/>
          <w:sz w:val="24"/>
        </w:rPr>
        <w:t>配电装置为户内G</w:t>
      </w:r>
      <w:r>
        <w:rPr>
          <w:rFonts w:ascii="宋体" w:hAnsi="宋体" w:cs="宋体"/>
          <w:sz w:val="24"/>
        </w:rPr>
        <w:t>IS</w:t>
      </w:r>
      <w:r>
        <w:rPr>
          <w:rFonts w:hint="eastAsia" w:ascii="宋体" w:hAnsi="宋体" w:cs="宋体"/>
          <w:sz w:val="24"/>
        </w:rPr>
        <w:t>；新建110kV单回电缆线路7.47km</w:t>
      </w:r>
      <w:r>
        <w:rPr>
          <w:rFonts w:hint="eastAsia" w:ascii="宋体" w:hAnsi="宋体"/>
          <w:bCs/>
          <w:sz w:val="24"/>
        </w:rPr>
        <w:t>。</w:t>
      </w:r>
      <w:r>
        <w:rPr>
          <w:rFonts w:hint="eastAsia" w:ascii="宋体" w:hAnsi="宋体" w:cs="宋体"/>
          <w:sz w:val="24"/>
        </w:rPr>
        <w:t>变电站</w:t>
      </w:r>
      <w:r>
        <w:rPr>
          <w:rFonts w:hint="eastAsia" w:ascii="宋体" w:hAnsi="宋体"/>
          <w:spacing w:val="-4"/>
          <w:sz w:val="24"/>
        </w:rPr>
        <w:t>站址位于</w:t>
      </w:r>
      <w:r>
        <w:rPr>
          <w:rFonts w:hint="eastAsia" w:ascii="宋体" w:hAnsi="宋体"/>
          <w:sz w:val="24"/>
        </w:rPr>
        <w:t>山东省济南市槐荫区吴家堡镇，中赵村东南约100m，齐鲁大道和济齐路交叉口东南角</w:t>
      </w:r>
      <w:r>
        <w:rPr>
          <w:rFonts w:hint="eastAsia" w:ascii="宋体" w:hAnsi="宋体"/>
          <w:bCs/>
          <w:sz w:val="24"/>
        </w:rPr>
        <w:t>，线路位于济南市槐荫区</w:t>
      </w:r>
      <w:r>
        <w:rPr>
          <w:rFonts w:hint="eastAsia" w:ascii="宋体" w:hAnsi="宋体"/>
          <w:bCs/>
          <w:sz w:val="24"/>
          <w:lang w:eastAsia="zh-CN"/>
        </w:rPr>
        <w:t>。</w:t>
      </w:r>
    </w:p>
    <w:p>
      <w:pPr>
        <w:widowControl/>
        <w:numPr>
          <w:ilvl w:val="0"/>
          <w:numId w:val="2"/>
        </w:numPr>
        <w:spacing w:line="360" w:lineRule="auto"/>
        <w:jc w:val="left"/>
        <w:rPr>
          <w:rFonts w:ascii="宋体" w:hAnsi="宋体" w:cs="宋体"/>
          <w:b/>
          <w:bCs/>
          <w:color w:val="000000"/>
          <w:kern w:val="0"/>
          <w:sz w:val="24"/>
        </w:rPr>
      </w:pPr>
      <w:r>
        <w:rPr>
          <w:rFonts w:hint="eastAsia" w:ascii="宋体" w:hAnsi="宋体" w:cs="宋体"/>
          <w:b/>
          <w:bCs/>
          <w:color w:val="000000"/>
          <w:kern w:val="0"/>
          <w:sz w:val="24"/>
        </w:rPr>
        <w:t>环境保护措施执行情况</w:t>
      </w:r>
    </w:p>
    <w:p>
      <w:pPr>
        <w:spacing w:line="360" w:lineRule="auto"/>
        <w:ind w:firstLine="480" w:firstLineChars="200"/>
        <w:rPr>
          <w:rFonts w:ascii="宋体" w:hAnsi="宋体"/>
          <w:bCs/>
          <w:sz w:val="24"/>
        </w:rPr>
      </w:pPr>
      <w:r>
        <w:rPr>
          <w:rFonts w:hint="eastAsia" w:ascii="宋体" w:hAnsi="宋体"/>
          <w:bCs/>
          <w:sz w:val="24"/>
        </w:rPr>
        <w:t>工程建设过程中基本执行了环境保护“三同时”制度。电磁污染防治措施、噪声污染防治措施和生态保护措施等已按照该工程环境影响报告表及其批复中的要求予以落实。</w:t>
      </w:r>
    </w:p>
    <w:p>
      <w:pPr>
        <w:widowControl/>
        <w:numPr>
          <w:ilvl w:val="0"/>
          <w:numId w:val="2"/>
        </w:numPr>
        <w:spacing w:line="360" w:lineRule="auto"/>
        <w:jc w:val="left"/>
        <w:rPr>
          <w:rFonts w:ascii="宋体" w:hAnsi="宋体" w:cs="宋体"/>
          <w:b/>
          <w:bCs/>
          <w:color w:val="000000"/>
          <w:kern w:val="0"/>
          <w:sz w:val="24"/>
        </w:rPr>
      </w:pPr>
      <w:r>
        <w:rPr>
          <w:rFonts w:hint="eastAsia" w:ascii="宋体" w:hAnsi="宋体" w:cs="宋体"/>
          <w:b/>
          <w:bCs/>
          <w:color w:val="000000"/>
          <w:kern w:val="0"/>
          <w:sz w:val="24"/>
        </w:rPr>
        <w:t>环境敏感目标情况</w:t>
      </w:r>
    </w:p>
    <w:p>
      <w:pPr>
        <w:widowControl/>
        <w:spacing w:line="360" w:lineRule="auto"/>
        <w:ind w:firstLine="480" w:firstLineChars="200"/>
        <w:jc w:val="left"/>
        <w:rPr>
          <w:rFonts w:ascii="宋体" w:hAnsi="宋体" w:cs="宋体"/>
          <w:b/>
          <w:bCs/>
          <w:color w:val="000000"/>
          <w:kern w:val="0"/>
          <w:sz w:val="24"/>
        </w:rPr>
      </w:pPr>
      <w:r>
        <w:rPr>
          <w:rFonts w:hint="eastAsia" w:ascii="宋体" w:hAnsi="宋体"/>
          <w:bCs/>
          <w:sz w:val="24"/>
        </w:rPr>
        <w:t>通过现场实地勘察，本工程电磁环境、声环境调查范围内存在</w:t>
      </w:r>
      <w:r>
        <w:rPr>
          <w:rFonts w:ascii="宋体" w:hAnsi="宋体"/>
          <w:bCs/>
          <w:sz w:val="24"/>
        </w:rPr>
        <w:t>3</w:t>
      </w:r>
      <w:r>
        <w:rPr>
          <w:rFonts w:hint="eastAsia" w:ascii="宋体" w:hAnsi="宋体"/>
          <w:bCs/>
          <w:sz w:val="24"/>
        </w:rPr>
        <w:t>处环境敏感目标，均为环评后新建，生态环境调查范围内无生态敏感目标。</w:t>
      </w:r>
    </w:p>
    <w:p>
      <w:pPr>
        <w:widowControl/>
        <w:numPr>
          <w:ilvl w:val="0"/>
          <w:numId w:val="2"/>
        </w:numPr>
        <w:spacing w:line="360" w:lineRule="auto"/>
        <w:jc w:val="left"/>
        <w:rPr>
          <w:rFonts w:ascii="宋体" w:hAnsi="宋体" w:cs="宋体"/>
          <w:b/>
          <w:bCs/>
          <w:color w:val="000000"/>
          <w:kern w:val="0"/>
          <w:sz w:val="24"/>
        </w:rPr>
      </w:pPr>
      <w:r>
        <w:rPr>
          <w:rFonts w:hint="eastAsia" w:ascii="宋体" w:hAnsi="宋体" w:cs="宋体"/>
          <w:b/>
          <w:bCs/>
          <w:color w:val="000000"/>
          <w:kern w:val="0"/>
          <w:sz w:val="24"/>
        </w:rPr>
        <w:t>工程变动情况</w:t>
      </w:r>
    </w:p>
    <w:p>
      <w:pPr>
        <w:spacing w:line="360" w:lineRule="auto"/>
        <w:ind w:firstLine="480" w:firstLineChars="200"/>
        <w:rPr>
          <w:rFonts w:ascii="宋体" w:hAnsi="宋体"/>
          <w:sz w:val="24"/>
        </w:rPr>
      </w:pPr>
      <w:r>
        <w:rPr>
          <w:rFonts w:hint="eastAsia" w:ascii="宋体" w:hAnsi="宋体"/>
          <w:sz w:val="24"/>
        </w:rPr>
        <w:t>本工程变电站站址、主变规模、布置方式、110kV输电线路路径、长度等主要建设内容与环评阶段的本期建设内容基本一致，不涉及工程变动。</w:t>
      </w:r>
    </w:p>
    <w:p>
      <w:pPr>
        <w:widowControl/>
        <w:numPr>
          <w:ilvl w:val="0"/>
          <w:numId w:val="2"/>
        </w:numPr>
        <w:spacing w:line="360" w:lineRule="auto"/>
        <w:jc w:val="left"/>
        <w:rPr>
          <w:rFonts w:ascii="宋体" w:hAnsi="宋体"/>
          <w:sz w:val="24"/>
        </w:rPr>
      </w:pPr>
      <w:r>
        <w:rPr>
          <w:rFonts w:hint="eastAsia" w:ascii="宋体" w:hAnsi="宋体" w:cs="宋体"/>
          <w:b/>
          <w:bCs/>
          <w:color w:val="000000"/>
          <w:kern w:val="0"/>
          <w:sz w:val="24"/>
          <w:lang w:val="en-US" w:eastAsia="zh-CN"/>
        </w:rPr>
        <w:t>工程建设对环境的影响</w:t>
      </w:r>
    </w:p>
    <w:p>
      <w:pPr>
        <w:widowControl/>
        <w:numPr>
          <w:ilvl w:val="0"/>
          <w:numId w:val="0"/>
        </w:numPr>
        <w:spacing w:line="360" w:lineRule="auto"/>
        <w:ind w:firstLine="480" w:firstLineChars="200"/>
        <w:jc w:val="left"/>
        <w:rPr>
          <w:rFonts w:ascii="宋体" w:hAnsi="宋体" w:cs="宋体"/>
          <w:b/>
          <w:bCs/>
          <w:color w:val="000000"/>
          <w:kern w:val="0"/>
          <w:sz w:val="24"/>
        </w:rPr>
      </w:pPr>
      <w:r>
        <w:rPr>
          <w:rFonts w:hint="eastAsia" w:ascii="宋体" w:hAnsi="宋体" w:cs="宋体"/>
          <w:b w:val="0"/>
          <w:bCs w:val="0"/>
          <w:color w:val="000000"/>
          <w:kern w:val="0"/>
          <w:sz w:val="24"/>
          <w:lang w:val="en-US" w:eastAsia="zh-CN"/>
        </w:rPr>
        <w:t>本工程采取了有效的生态环境保护措施，生态恢复状况良好；本工程周围及环境保护目标处的电磁环境和声环境监测值均满足相关标准要求；废水、固体废物等污染物均得到妥善处理；已制定突发环境事件应急预案，环境风险控制措施可行。</w:t>
      </w:r>
    </w:p>
    <w:p>
      <w:pPr>
        <w:widowControl/>
        <w:numPr>
          <w:ilvl w:val="0"/>
          <w:numId w:val="2"/>
        </w:numPr>
        <w:spacing w:line="360" w:lineRule="auto"/>
        <w:jc w:val="left"/>
        <w:rPr>
          <w:rFonts w:ascii="宋体" w:hAnsi="宋体" w:cs="宋体"/>
          <w:b/>
          <w:bCs/>
          <w:color w:val="000000"/>
          <w:kern w:val="0"/>
          <w:sz w:val="24"/>
        </w:rPr>
      </w:pPr>
      <w:r>
        <w:rPr>
          <w:rFonts w:hint="eastAsia" w:ascii="宋体" w:hAnsi="宋体" w:cs="宋体"/>
          <w:b/>
          <w:bCs/>
          <w:color w:val="000000"/>
          <w:kern w:val="0"/>
          <w:sz w:val="24"/>
        </w:rPr>
        <w:t>验收结论</w:t>
      </w:r>
    </w:p>
    <w:p>
      <w:pPr>
        <w:widowControl/>
        <w:spacing w:line="360" w:lineRule="auto"/>
        <w:ind w:firstLine="480" w:firstLineChars="200"/>
        <w:jc w:val="left"/>
        <w:rPr>
          <w:rFonts w:hint="eastAsia" w:ascii="宋体" w:hAnsi="宋体" w:cs="宋体"/>
          <w:b/>
          <w:bCs/>
          <w:color w:val="000000"/>
          <w:kern w:val="0"/>
          <w:sz w:val="24"/>
        </w:rPr>
      </w:pPr>
      <w:r>
        <w:rPr>
          <w:rFonts w:hint="eastAsia" w:ascii="宋体" w:hAnsi="宋体" w:cs="宋体"/>
          <w:b w:val="0"/>
          <w:bCs w:val="0"/>
          <w:color w:val="000000"/>
          <w:kern w:val="0"/>
          <w:sz w:val="24"/>
        </w:rPr>
        <w:t>本工程环境保护手续齐全，落实了环境影响报告表及批复中的各项要求，工程电磁环境及声环境监测结果均符合标准，生态环境、水环境及固体废物的影响满足相关要求。符合建设项目竣工环境保护验收条件，可以通过验收。</w:t>
      </w:r>
    </w:p>
    <w:p>
      <w:pPr>
        <w:widowControl/>
        <w:spacing w:line="360" w:lineRule="auto"/>
        <w:jc w:val="left"/>
        <w:rPr>
          <w:rFonts w:ascii="宋体" w:hAnsi="宋体" w:cs="宋体"/>
          <w:color w:val="000000"/>
          <w:sz w:val="24"/>
        </w:rPr>
      </w:pPr>
      <w:r>
        <w:rPr>
          <w:rFonts w:hint="eastAsia" w:ascii="宋体" w:hAnsi="宋体" w:cs="宋体"/>
          <w:b/>
          <w:bCs/>
          <w:color w:val="000000"/>
          <w:kern w:val="0"/>
          <w:sz w:val="24"/>
          <w:lang w:val="en-US" w:eastAsia="zh-CN"/>
        </w:rPr>
        <w:t>七</w:t>
      </w:r>
      <w:r>
        <w:rPr>
          <w:rFonts w:hint="eastAsia" w:ascii="宋体" w:hAnsi="宋体" w:cs="宋体"/>
          <w:b/>
          <w:bCs/>
          <w:color w:val="000000"/>
          <w:kern w:val="0"/>
          <w:sz w:val="24"/>
        </w:rPr>
        <w:t>、建议</w:t>
      </w:r>
    </w:p>
    <w:p>
      <w:pPr>
        <w:widowControl/>
        <w:spacing w:line="360" w:lineRule="auto"/>
        <w:ind w:firstLine="480" w:firstLineChars="200"/>
        <w:jc w:val="left"/>
        <w:rPr>
          <w:rFonts w:ascii="宋体" w:hAnsi="宋体" w:cs="宋体"/>
          <w:color w:val="000000"/>
          <w:sz w:val="24"/>
        </w:rPr>
      </w:pPr>
      <w:r>
        <w:rPr>
          <w:rFonts w:hint="eastAsia" w:ascii="宋体" w:hAnsi="宋体" w:cs="宋体"/>
          <w:color w:val="000000"/>
          <w:kern w:val="0"/>
          <w:sz w:val="24"/>
        </w:rPr>
        <w:t>1.</w:t>
      </w:r>
      <w:r>
        <w:rPr>
          <w:rFonts w:hint="eastAsia" w:ascii="宋体" w:hAnsi="宋体" w:cs="Times New Roman"/>
          <w:sz w:val="24"/>
        </w:rPr>
        <w:t xml:space="preserve"> </w:t>
      </w:r>
      <w:r>
        <w:rPr>
          <w:rFonts w:hint="eastAsia" w:ascii="宋体" w:hAnsi="宋体" w:cs="宋体"/>
          <w:color w:val="000000"/>
          <w:kern w:val="0"/>
          <w:sz w:val="24"/>
        </w:rPr>
        <w:t>加强档案管理，相关技术资料与环保档案等实行集中存放或成册存放。</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w:t>
      </w:r>
      <w:r>
        <w:rPr>
          <w:rFonts w:hint="eastAsia" w:ascii="宋体" w:hAnsi="宋体" w:cs="Times New Roman"/>
          <w:sz w:val="24"/>
        </w:rPr>
        <w:t xml:space="preserve"> </w:t>
      </w:r>
      <w:r>
        <w:rPr>
          <w:rFonts w:hint="eastAsia" w:ascii="宋体" w:hAnsi="宋体" w:cs="宋体"/>
          <w:color w:val="000000"/>
          <w:kern w:val="0"/>
          <w:sz w:val="24"/>
        </w:rPr>
        <w:t>加强有关电力法律法规及输变电工程常识的宣传力度和深度。</w:t>
      </w:r>
    </w:p>
    <w:p>
      <w:pPr>
        <w:pStyle w:val="4"/>
      </w:pP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 xml:space="preserve"> </w:t>
      </w:r>
      <w:r>
        <w:rPr>
          <w:rFonts w:ascii="宋体" w:hAnsi="宋体" w:cs="宋体"/>
          <w:color w:val="000000"/>
          <w:kern w:val="0"/>
          <w:sz w:val="24"/>
        </w:rPr>
        <w:t xml:space="preserve">                                           </w:t>
      </w:r>
      <w:r>
        <w:rPr>
          <w:rFonts w:hint="eastAsia" w:ascii="宋体" w:hAnsi="宋体" w:cs="宋体"/>
          <w:color w:val="000000"/>
          <w:kern w:val="0"/>
          <w:sz w:val="24"/>
        </w:rPr>
        <w:t>国网山东省电力公司济南供电公司</w:t>
      </w:r>
    </w:p>
    <w:p>
      <w:pPr>
        <w:widowControl/>
        <w:spacing w:line="360" w:lineRule="auto"/>
        <w:jc w:val="right"/>
        <w:rPr>
          <w:rFonts w:ascii="宋体" w:hAnsi="宋体" w:cs="宋体"/>
          <w:color w:val="000000"/>
          <w:kern w:val="0"/>
          <w:sz w:val="24"/>
        </w:rPr>
        <w:sectPr>
          <w:pgSz w:w="11906" w:h="16838"/>
          <w:pgMar w:top="1417" w:right="1247" w:bottom="1417" w:left="1247" w:header="851" w:footer="992" w:gutter="0"/>
          <w:cols w:space="720" w:num="1"/>
          <w:docGrid w:type="lines" w:linePitch="312" w:charSpace="0"/>
        </w:sectPr>
      </w:pPr>
      <w:r>
        <w:rPr>
          <w:rFonts w:hint="eastAsia" w:ascii="宋体" w:hAnsi="宋体" w:cs="宋体"/>
          <w:color w:val="000000"/>
          <w:kern w:val="0"/>
          <w:sz w:val="24"/>
        </w:rPr>
        <w:t>202</w:t>
      </w:r>
      <w:r>
        <w:rPr>
          <w:rFonts w:ascii="宋体" w:hAnsi="宋体" w:cs="宋体"/>
          <w:color w:val="000000"/>
          <w:kern w:val="0"/>
          <w:sz w:val="24"/>
        </w:rPr>
        <w:t>3</w:t>
      </w:r>
      <w:r>
        <w:rPr>
          <w:rFonts w:hint="eastAsia" w:ascii="宋体" w:hAnsi="宋体" w:cs="宋体"/>
          <w:color w:val="000000"/>
          <w:kern w:val="0"/>
          <w:sz w:val="24"/>
        </w:rPr>
        <w:t>年</w:t>
      </w:r>
      <w:r>
        <w:rPr>
          <w:rFonts w:ascii="宋体" w:hAnsi="宋体" w:cs="宋体"/>
          <w:color w:val="000000"/>
          <w:kern w:val="0"/>
          <w:sz w:val="24"/>
        </w:rPr>
        <w:t>4</w:t>
      </w:r>
      <w:r>
        <w:rPr>
          <w:rFonts w:hint="eastAsia" w:ascii="宋体" w:hAnsi="宋体" w:cs="宋体"/>
          <w:color w:val="000000"/>
          <w:kern w:val="0"/>
          <w:sz w:val="24"/>
        </w:rPr>
        <w:t>月</w:t>
      </w:r>
      <w:r>
        <w:rPr>
          <w:rFonts w:ascii="宋体" w:hAnsi="宋体" w:cs="宋体"/>
          <w:color w:val="000000"/>
          <w:kern w:val="0"/>
          <w:sz w:val="24"/>
        </w:rPr>
        <w:t>7</w:t>
      </w:r>
      <w:r>
        <w:rPr>
          <w:rFonts w:hint="eastAsia" w:ascii="宋体" w:hAnsi="宋体" w:cs="宋体"/>
          <w:color w:val="000000"/>
          <w:kern w:val="0"/>
          <w:sz w:val="24"/>
        </w:rPr>
        <w:t>日</w:t>
      </w:r>
    </w:p>
    <w:p>
      <w:pPr>
        <w:widowControl/>
        <w:jc w:val="center"/>
        <w:rPr>
          <w:rFonts w:ascii="黑体" w:hAnsi="宋体" w:eastAsia="黑体"/>
          <w:color w:val="000000"/>
          <w:kern w:val="0"/>
          <w:sz w:val="36"/>
          <w:szCs w:val="36"/>
        </w:rPr>
      </w:pPr>
    </w:p>
    <w:p>
      <w:pPr>
        <w:widowControl/>
        <w:jc w:val="center"/>
        <w:rPr>
          <w:rFonts w:ascii="黑体" w:hAnsi="宋体" w:eastAsia="黑体"/>
          <w:bCs/>
          <w:color w:val="000000"/>
          <w:kern w:val="0"/>
          <w:sz w:val="44"/>
          <w:szCs w:val="44"/>
        </w:rPr>
      </w:pPr>
      <w:r>
        <w:rPr>
          <w:rFonts w:ascii="黑体" w:hAnsi="宋体" w:eastAsia="黑体"/>
          <w:bCs/>
          <w:color w:val="000000"/>
          <w:kern w:val="0"/>
          <w:sz w:val="44"/>
          <w:szCs w:val="44"/>
        </w:rPr>
        <w:t>济南110kV中赵输变电工程</w:t>
      </w:r>
    </w:p>
    <w:p>
      <w:pPr>
        <w:widowControl/>
        <w:jc w:val="center"/>
        <w:rPr>
          <w:rFonts w:ascii="黑体" w:hAnsi="宋体" w:eastAsia="黑体"/>
          <w:color w:val="000000"/>
          <w:kern w:val="0"/>
          <w:sz w:val="44"/>
          <w:szCs w:val="44"/>
        </w:rPr>
      </w:pPr>
      <w:r>
        <w:rPr>
          <w:rFonts w:hint="eastAsia" w:ascii="黑体" w:hAnsi="宋体" w:eastAsia="黑体"/>
          <w:color w:val="000000"/>
          <w:kern w:val="0"/>
          <w:sz w:val="44"/>
          <w:szCs w:val="44"/>
        </w:rPr>
        <w:t>竣工环境保护验收工作组名单</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1962"/>
        <w:gridCol w:w="1416"/>
        <w:gridCol w:w="5671"/>
        <w:gridCol w:w="1698"/>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135" w:type="pct"/>
            <w:gridSpan w:val="2"/>
            <w:shd w:val="clear" w:color="auto" w:fill="auto"/>
            <w:vAlign w:val="center"/>
          </w:tcPr>
          <w:p>
            <w:pPr>
              <w:spacing w:line="360" w:lineRule="auto"/>
              <w:jc w:val="center"/>
              <w:rPr>
                <w:rFonts w:ascii="宋体" w:hAnsi="宋体" w:cs="宋体"/>
                <w:sz w:val="28"/>
                <w:szCs w:val="28"/>
              </w:rPr>
            </w:pPr>
            <w:r>
              <w:rPr>
                <w:rFonts w:hint="eastAsia" w:ascii="宋体" w:hAnsi="宋体" w:cs="宋体"/>
                <w:sz w:val="28"/>
                <w:szCs w:val="28"/>
              </w:rPr>
              <w:t xml:space="preserve">组 </w:t>
            </w:r>
            <w:r>
              <w:rPr>
                <w:rFonts w:ascii="宋体" w:hAnsi="宋体" w:cs="宋体"/>
                <w:sz w:val="28"/>
                <w:szCs w:val="28"/>
              </w:rPr>
              <w:t xml:space="preserve"> </w:t>
            </w:r>
            <w:r>
              <w:rPr>
                <w:rFonts w:hint="eastAsia" w:ascii="宋体" w:hAnsi="宋体" w:cs="宋体"/>
                <w:sz w:val="28"/>
                <w:szCs w:val="28"/>
              </w:rPr>
              <w:t>成</w:t>
            </w:r>
          </w:p>
        </w:tc>
        <w:tc>
          <w:tcPr>
            <w:tcW w:w="498" w:type="pct"/>
            <w:shd w:val="clear" w:color="auto" w:fill="auto"/>
            <w:vAlign w:val="center"/>
          </w:tcPr>
          <w:p>
            <w:pPr>
              <w:spacing w:line="360" w:lineRule="auto"/>
              <w:jc w:val="center"/>
              <w:rPr>
                <w:rFonts w:ascii="宋体" w:hAnsi="宋体" w:cs="宋体"/>
                <w:sz w:val="28"/>
                <w:szCs w:val="28"/>
              </w:rPr>
            </w:pPr>
            <w:r>
              <w:rPr>
                <w:rFonts w:hint="eastAsia" w:ascii="宋体" w:hAnsi="宋体" w:cs="宋体"/>
                <w:sz w:val="28"/>
                <w:szCs w:val="28"/>
              </w:rPr>
              <w:t>姓  名</w:t>
            </w:r>
          </w:p>
        </w:tc>
        <w:tc>
          <w:tcPr>
            <w:tcW w:w="1994" w:type="pct"/>
            <w:shd w:val="clear" w:color="auto" w:fill="auto"/>
            <w:vAlign w:val="center"/>
          </w:tcPr>
          <w:p>
            <w:pPr>
              <w:spacing w:line="360" w:lineRule="auto"/>
              <w:jc w:val="center"/>
              <w:rPr>
                <w:rFonts w:ascii="宋体" w:hAnsi="宋体" w:cs="宋体"/>
                <w:sz w:val="28"/>
                <w:szCs w:val="28"/>
              </w:rPr>
            </w:pPr>
            <w:r>
              <w:rPr>
                <w:rFonts w:hint="eastAsia" w:ascii="宋体" w:hAnsi="宋体" w:cs="宋体"/>
                <w:sz w:val="28"/>
                <w:szCs w:val="28"/>
              </w:rPr>
              <w:t xml:space="preserve">单 </w:t>
            </w:r>
            <w:r>
              <w:rPr>
                <w:rFonts w:ascii="宋体" w:hAnsi="宋体" w:cs="宋体"/>
                <w:sz w:val="28"/>
                <w:szCs w:val="28"/>
              </w:rPr>
              <w:t xml:space="preserve"> </w:t>
            </w:r>
            <w:r>
              <w:rPr>
                <w:rFonts w:hint="eastAsia" w:ascii="宋体" w:hAnsi="宋体" w:cs="宋体"/>
                <w:sz w:val="28"/>
                <w:szCs w:val="28"/>
              </w:rPr>
              <w:t>位</w:t>
            </w:r>
          </w:p>
        </w:tc>
        <w:tc>
          <w:tcPr>
            <w:tcW w:w="597" w:type="pct"/>
            <w:shd w:val="clear" w:color="auto" w:fill="auto"/>
            <w:vAlign w:val="center"/>
          </w:tcPr>
          <w:p>
            <w:pPr>
              <w:spacing w:line="360" w:lineRule="auto"/>
              <w:jc w:val="center"/>
              <w:rPr>
                <w:rFonts w:ascii="宋体" w:hAnsi="宋体" w:cs="宋体"/>
                <w:sz w:val="28"/>
                <w:szCs w:val="28"/>
              </w:rPr>
            </w:pPr>
            <w:r>
              <w:rPr>
                <w:rFonts w:hint="eastAsia" w:ascii="宋体" w:hAnsi="宋体" w:cs="宋体"/>
                <w:sz w:val="28"/>
                <w:szCs w:val="28"/>
              </w:rPr>
              <w:t>职务/职称</w:t>
            </w:r>
          </w:p>
        </w:tc>
        <w:tc>
          <w:tcPr>
            <w:tcW w:w="776" w:type="pct"/>
            <w:shd w:val="clear" w:color="auto" w:fill="auto"/>
            <w:vAlign w:val="center"/>
          </w:tcPr>
          <w:p>
            <w:pPr>
              <w:spacing w:line="360" w:lineRule="auto"/>
              <w:jc w:val="center"/>
              <w:rPr>
                <w:rFonts w:ascii="宋体" w:hAnsi="宋体" w:cs="宋体"/>
                <w:sz w:val="28"/>
                <w:szCs w:val="28"/>
              </w:rPr>
            </w:pPr>
            <w:r>
              <w:rPr>
                <w:rFonts w:hint="eastAsia" w:ascii="宋体" w:hAnsi="宋体" w:cs="宋体"/>
                <w:sz w:val="28"/>
                <w:szCs w:val="28"/>
              </w:rPr>
              <w:t xml:space="preserve">签 </w:t>
            </w:r>
            <w:r>
              <w:rPr>
                <w:rFonts w:ascii="宋体" w:hAnsi="宋体" w:cs="宋体"/>
                <w:sz w:val="28"/>
                <w:szCs w:val="28"/>
              </w:rPr>
              <w:t xml:space="preserve"> </w:t>
            </w:r>
            <w:r>
              <w:rPr>
                <w:rFonts w:hint="eastAsia" w:ascii="宋体" w:hAnsi="宋体" w:cs="宋体"/>
                <w:sz w:val="28"/>
                <w:szCs w:val="28"/>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445" w:type="pct"/>
            <w:shd w:val="clear" w:color="auto" w:fill="auto"/>
            <w:vAlign w:val="center"/>
          </w:tcPr>
          <w:p>
            <w:pPr>
              <w:spacing w:line="360" w:lineRule="auto"/>
              <w:jc w:val="center"/>
              <w:rPr>
                <w:rFonts w:ascii="宋体" w:hAnsi="宋体" w:cs="宋体"/>
                <w:sz w:val="28"/>
                <w:szCs w:val="28"/>
              </w:rPr>
            </w:pPr>
            <w:r>
              <w:rPr>
                <w:rFonts w:hint="eastAsia" w:ascii="宋体" w:hAnsi="宋体" w:cs="宋体"/>
                <w:sz w:val="28"/>
                <w:szCs w:val="28"/>
              </w:rPr>
              <w:t xml:space="preserve">组 </w:t>
            </w:r>
            <w:r>
              <w:rPr>
                <w:rFonts w:ascii="宋体" w:hAnsi="宋体" w:cs="宋体"/>
                <w:sz w:val="28"/>
                <w:szCs w:val="28"/>
              </w:rPr>
              <w:t xml:space="preserve"> </w:t>
            </w:r>
            <w:r>
              <w:rPr>
                <w:rFonts w:hint="eastAsia" w:ascii="宋体" w:hAnsi="宋体" w:cs="宋体"/>
                <w:sz w:val="28"/>
                <w:szCs w:val="28"/>
              </w:rPr>
              <w:t>长</w:t>
            </w:r>
          </w:p>
        </w:tc>
        <w:tc>
          <w:tcPr>
            <w:tcW w:w="690" w:type="pct"/>
            <w:shd w:val="clear" w:color="auto" w:fill="auto"/>
            <w:vAlign w:val="center"/>
          </w:tcPr>
          <w:p>
            <w:pPr>
              <w:spacing w:line="360" w:lineRule="auto"/>
              <w:jc w:val="center"/>
              <w:rPr>
                <w:rFonts w:ascii="宋体" w:hAnsi="宋体" w:cs="宋体"/>
                <w:sz w:val="28"/>
                <w:szCs w:val="28"/>
              </w:rPr>
            </w:pPr>
            <w:r>
              <w:rPr>
                <w:rFonts w:hint="eastAsia" w:ascii="宋体" w:hAnsi="宋体" w:cs="宋体"/>
                <w:sz w:val="28"/>
                <w:szCs w:val="28"/>
              </w:rPr>
              <w:t>建设单位</w:t>
            </w:r>
          </w:p>
        </w:tc>
        <w:tc>
          <w:tcPr>
            <w:tcW w:w="498" w:type="pct"/>
            <w:shd w:val="clear" w:color="auto" w:fill="auto"/>
            <w:vAlign w:val="center"/>
          </w:tcPr>
          <w:p>
            <w:pPr>
              <w:spacing w:line="360" w:lineRule="auto"/>
              <w:jc w:val="center"/>
              <w:rPr>
                <w:rFonts w:ascii="宋体" w:hAnsi="宋体" w:cs="宋体"/>
                <w:sz w:val="28"/>
                <w:szCs w:val="28"/>
              </w:rPr>
            </w:pPr>
            <w:r>
              <w:rPr>
                <w:rFonts w:hint="eastAsia" w:ascii="宋体" w:hAnsi="宋体" w:cs="宋体"/>
                <w:sz w:val="28"/>
                <w:szCs w:val="28"/>
              </w:rPr>
              <w:t xml:space="preserve">李 </w:t>
            </w:r>
            <w:r>
              <w:rPr>
                <w:rFonts w:ascii="宋体" w:hAnsi="宋体" w:cs="宋体"/>
                <w:sz w:val="28"/>
                <w:szCs w:val="28"/>
              </w:rPr>
              <w:t xml:space="preserve"> </w:t>
            </w:r>
            <w:r>
              <w:rPr>
                <w:rFonts w:hint="eastAsia" w:ascii="宋体" w:hAnsi="宋体" w:cs="宋体"/>
                <w:sz w:val="28"/>
                <w:szCs w:val="28"/>
              </w:rPr>
              <w:t>超</w:t>
            </w:r>
          </w:p>
        </w:tc>
        <w:tc>
          <w:tcPr>
            <w:tcW w:w="1994" w:type="pct"/>
            <w:shd w:val="clear" w:color="auto" w:fill="auto"/>
            <w:vAlign w:val="center"/>
          </w:tcPr>
          <w:p>
            <w:pPr>
              <w:spacing w:line="360" w:lineRule="auto"/>
              <w:jc w:val="center"/>
              <w:rPr>
                <w:rFonts w:ascii="宋体" w:hAnsi="宋体" w:cs="宋体"/>
                <w:sz w:val="28"/>
                <w:szCs w:val="28"/>
              </w:rPr>
            </w:pPr>
            <w:r>
              <w:rPr>
                <w:rFonts w:hint="eastAsia" w:ascii="宋体" w:hAnsi="宋体" w:cs="宋体"/>
                <w:sz w:val="28"/>
                <w:szCs w:val="28"/>
              </w:rPr>
              <w:t>国网山东省电力公司济南供电公司</w:t>
            </w:r>
          </w:p>
        </w:tc>
        <w:tc>
          <w:tcPr>
            <w:tcW w:w="597" w:type="pct"/>
            <w:shd w:val="clear" w:color="auto" w:fill="auto"/>
            <w:vAlign w:val="center"/>
          </w:tcPr>
          <w:p>
            <w:pPr>
              <w:spacing w:line="360" w:lineRule="auto"/>
              <w:jc w:val="center"/>
              <w:rPr>
                <w:rFonts w:ascii="宋体" w:hAnsi="宋体" w:cs="宋体"/>
                <w:sz w:val="28"/>
                <w:szCs w:val="28"/>
              </w:rPr>
            </w:pPr>
            <w:r>
              <w:rPr>
                <w:rFonts w:hint="eastAsia" w:ascii="宋体" w:hAnsi="宋体" w:cs="宋体"/>
                <w:sz w:val="28"/>
                <w:szCs w:val="28"/>
              </w:rPr>
              <w:t>工程师</w:t>
            </w:r>
          </w:p>
        </w:tc>
        <w:tc>
          <w:tcPr>
            <w:tcW w:w="776" w:type="pct"/>
            <w:shd w:val="clear" w:color="auto" w:fill="auto"/>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445" w:type="pct"/>
            <w:vMerge w:val="restart"/>
            <w:shd w:val="clear" w:color="auto" w:fill="auto"/>
            <w:vAlign w:val="center"/>
          </w:tcPr>
          <w:p>
            <w:pPr>
              <w:spacing w:line="360" w:lineRule="auto"/>
              <w:jc w:val="center"/>
              <w:rPr>
                <w:rFonts w:ascii="宋体" w:hAnsi="宋体" w:cs="宋体"/>
                <w:sz w:val="28"/>
                <w:szCs w:val="28"/>
              </w:rPr>
            </w:pPr>
            <w:r>
              <w:rPr>
                <w:rFonts w:hint="eastAsia" w:ascii="宋体" w:hAnsi="宋体" w:cs="宋体"/>
                <w:sz w:val="28"/>
                <w:szCs w:val="28"/>
              </w:rPr>
              <w:t xml:space="preserve">成 </w:t>
            </w:r>
            <w:r>
              <w:rPr>
                <w:rFonts w:ascii="宋体" w:hAnsi="宋体" w:cs="宋体"/>
                <w:sz w:val="28"/>
                <w:szCs w:val="28"/>
              </w:rPr>
              <w:t xml:space="preserve"> </w:t>
            </w:r>
            <w:r>
              <w:rPr>
                <w:rFonts w:hint="eastAsia" w:ascii="宋体" w:hAnsi="宋体" w:cs="宋体"/>
                <w:sz w:val="28"/>
                <w:szCs w:val="28"/>
              </w:rPr>
              <w:t>员</w:t>
            </w:r>
          </w:p>
        </w:tc>
        <w:tc>
          <w:tcPr>
            <w:tcW w:w="690" w:type="pct"/>
            <w:shd w:val="clear" w:color="auto" w:fill="auto"/>
            <w:vAlign w:val="center"/>
          </w:tcPr>
          <w:p>
            <w:pPr>
              <w:spacing w:line="360" w:lineRule="auto"/>
              <w:jc w:val="center"/>
              <w:rPr>
                <w:rFonts w:ascii="宋体" w:hAnsi="宋体" w:cs="宋体"/>
                <w:sz w:val="28"/>
                <w:szCs w:val="28"/>
              </w:rPr>
            </w:pPr>
            <w:r>
              <w:rPr>
                <w:rFonts w:hint="eastAsia" w:ascii="宋体" w:hAnsi="宋体" w:cs="宋体"/>
                <w:sz w:val="28"/>
                <w:szCs w:val="28"/>
              </w:rPr>
              <w:t>调查单位</w:t>
            </w:r>
          </w:p>
        </w:tc>
        <w:tc>
          <w:tcPr>
            <w:tcW w:w="498" w:type="pct"/>
            <w:shd w:val="clear" w:color="auto" w:fill="auto"/>
            <w:vAlign w:val="center"/>
          </w:tcPr>
          <w:p>
            <w:pPr>
              <w:spacing w:line="360" w:lineRule="auto"/>
              <w:jc w:val="center"/>
              <w:rPr>
                <w:rFonts w:ascii="宋体" w:hAnsi="宋体" w:cs="宋体"/>
                <w:sz w:val="28"/>
                <w:szCs w:val="28"/>
              </w:rPr>
            </w:pPr>
            <w:r>
              <w:rPr>
                <w:rFonts w:hint="eastAsia" w:ascii="宋体" w:hAnsi="宋体" w:cs="宋体"/>
                <w:sz w:val="28"/>
                <w:szCs w:val="28"/>
              </w:rPr>
              <w:t xml:space="preserve">于 </w:t>
            </w:r>
            <w:r>
              <w:rPr>
                <w:rFonts w:ascii="宋体" w:hAnsi="宋体" w:cs="宋体"/>
                <w:sz w:val="28"/>
                <w:szCs w:val="28"/>
              </w:rPr>
              <w:t xml:space="preserve"> </w:t>
            </w:r>
            <w:r>
              <w:rPr>
                <w:rFonts w:hint="eastAsia" w:ascii="宋体" w:hAnsi="宋体" w:cs="宋体"/>
                <w:sz w:val="28"/>
                <w:szCs w:val="28"/>
              </w:rPr>
              <w:t>超</w:t>
            </w:r>
          </w:p>
        </w:tc>
        <w:tc>
          <w:tcPr>
            <w:tcW w:w="1994" w:type="pct"/>
            <w:shd w:val="clear" w:color="auto" w:fill="auto"/>
            <w:vAlign w:val="center"/>
          </w:tcPr>
          <w:p>
            <w:pPr>
              <w:spacing w:line="360" w:lineRule="auto"/>
              <w:jc w:val="center"/>
              <w:rPr>
                <w:rFonts w:ascii="宋体" w:hAnsi="宋体" w:cs="宋体"/>
                <w:sz w:val="28"/>
                <w:szCs w:val="28"/>
              </w:rPr>
            </w:pPr>
            <w:r>
              <w:rPr>
                <w:rFonts w:hint="eastAsia" w:ascii="宋体" w:hAnsi="宋体" w:cs="宋体"/>
                <w:bCs/>
                <w:sz w:val="28"/>
                <w:szCs w:val="28"/>
              </w:rPr>
              <w:t>山东丹波尔环境科技</w:t>
            </w:r>
            <w:r>
              <w:rPr>
                <w:rFonts w:hint="eastAsia" w:ascii="宋体" w:hAnsi="宋体" w:cs="宋体"/>
                <w:sz w:val="28"/>
                <w:szCs w:val="28"/>
              </w:rPr>
              <w:t>有限公司</w:t>
            </w:r>
          </w:p>
        </w:tc>
        <w:tc>
          <w:tcPr>
            <w:tcW w:w="597" w:type="pct"/>
            <w:shd w:val="clear" w:color="auto" w:fill="auto"/>
            <w:vAlign w:val="center"/>
          </w:tcPr>
          <w:p>
            <w:pPr>
              <w:spacing w:line="360" w:lineRule="auto"/>
              <w:jc w:val="center"/>
              <w:rPr>
                <w:rFonts w:ascii="宋体" w:hAnsi="宋体" w:cs="宋体"/>
                <w:sz w:val="28"/>
                <w:szCs w:val="28"/>
              </w:rPr>
            </w:pPr>
            <w:r>
              <w:rPr>
                <w:rFonts w:hint="eastAsia" w:ascii="宋体" w:hAnsi="宋体" w:cs="宋体"/>
                <w:sz w:val="28"/>
                <w:szCs w:val="28"/>
              </w:rPr>
              <w:t>工程师</w:t>
            </w:r>
          </w:p>
        </w:tc>
        <w:tc>
          <w:tcPr>
            <w:tcW w:w="776" w:type="pct"/>
            <w:shd w:val="clear" w:color="auto" w:fill="auto"/>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445" w:type="pct"/>
            <w:vMerge w:val="continue"/>
            <w:shd w:val="clear" w:color="auto" w:fill="auto"/>
            <w:vAlign w:val="center"/>
          </w:tcPr>
          <w:p>
            <w:pPr>
              <w:spacing w:line="360" w:lineRule="auto"/>
              <w:jc w:val="center"/>
              <w:rPr>
                <w:rFonts w:ascii="宋体" w:hAnsi="宋体" w:cs="宋体"/>
                <w:sz w:val="28"/>
                <w:szCs w:val="28"/>
              </w:rPr>
            </w:pPr>
          </w:p>
        </w:tc>
        <w:tc>
          <w:tcPr>
            <w:tcW w:w="690" w:type="pct"/>
            <w:vMerge w:val="restart"/>
            <w:shd w:val="clear" w:color="auto" w:fill="auto"/>
            <w:vAlign w:val="center"/>
          </w:tcPr>
          <w:p>
            <w:pPr>
              <w:spacing w:line="360" w:lineRule="auto"/>
              <w:jc w:val="center"/>
              <w:rPr>
                <w:rFonts w:ascii="宋体" w:hAnsi="宋体" w:cs="宋体"/>
                <w:sz w:val="28"/>
                <w:szCs w:val="28"/>
              </w:rPr>
            </w:pPr>
            <w:r>
              <w:rPr>
                <w:rFonts w:hint="eastAsia" w:ascii="宋体" w:hAnsi="宋体" w:cs="宋体"/>
                <w:sz w:val="28"/>
                <w:szCs w:val="28"/>
              </w:rPr>
              <w:t>技术专家</w:t>
            </w:r>
          </w:p>
        </w:tc>
        <w:tc>
          <w:tcPr>
            <w:tcW w:w="498" w:type="pct"/>
            <w:shd w:val="clear" w:color="auto" w:fill="auto"/>
            <w:vAlign w:val="center"/>
          </w:tcPr>
          <w:p>
            <w:pPr>
              <w:spacing w:line="360" w:lineRule="auto"/>
              <w:jc w:val="center"/>
              <w:rPr>
                <w:rFonts w:ascii="宋体" w:hAnsi="宋体" w:cs="宋体"/>
                <w:sz w:val="28"/>
                <w:szCs w:val="28"/>
              </w:rPr>
            </w:pPr>
            <w:r>
              <w:rPr>
                <w:rFonts w:hint="eastAsia" w:ascii="宋体" w:hAnsi="宋体" w:cs="宋体"/>
                <w:sz w:val="28"/>
                <w:szCs w:val="28"/>
              </w:rPr>
              <w:t xml:space="preserve">王 </w:t>
            </w:r>
            <w:r>
              <w:rPr>
                <w:rFonts w:ascii="宋体" w:hAnsi="宋体" w:cs="宋体"/>
                <w:sz w:val="28"/>
                <w:szCs w:val="28"/>
              </w:rPr>
              <w:t xml:space="preserve"> </w:t>
            </w:r>
            <w:r>
              <w:rPr>
                <w:rFonts w:hint="eastAsia" w:ascii="宋体" w:hAnsi="宋体" w:cs="宋体"/>
                <w:sz w:val="28"/>
                <w:szCs w:val="28"/>
              </w:rPr>
              <w:t>敏</w:t>
            </w:r>
          </w:p>
        </w:tc>
        <w:tc>
          <w:tcPr>
            <w:tcW w:w="1994" w:type="pct"/>
            <w:shd w:val="clear" w:color="auto" w:fill="auto"/>
            <w:vAlign w:val="center"/>
          </w:tcPr>
          <w:p>
            <w:pPr>
              <w:spacing w:line="360" w:lineRule="auto"/>
              <w:jc w:val="center"/>
              <w:rPr>
                <w:rFonts w:ascii="宋体" w:hAnsi="宋体" w:cs="宋体"/>
                <w:sz w:val="28"/>
                <w:szCs w:val="28"/>
              </w:rPr>
            </w:pPr>
            <w:r>
              <w:rPr>
                <w:rFonts w:hint="eastAsia" w:ascii="宋体" w:hAnsi="宋体" w:cs="宋体"/>
                <w:sz w:val="28"/>
                <w:szCs w:val="28"/>
              </w:rPr>
              <w:t>济南市环境影响评价技术审查中心</w:t>
            </w:r>
          </w:p>
        </w:tc>
        <w:tc>
          <w:tcPr>
            <w:tcW w:w="597" w:type="pct"/>
            <w:shd w:val="clear" w:color="auto" w:fill="auto"/>
            <w:vAlign w:val="center"/>
          </w:tcPr>
          <w:p>
            <w:pPr>
              <w:spacing w:line="360" w:lineRule="auto"/>
              <w:jc w:val="center"/>
              <w:rPr>
                <w:rFonts w:ascii="宋体" w:hAnsi="宋体" w:cs="宋体"/>
                <w:sz w:val="28"/>
                <w:szCs w:val="28"/>
              </w:rPr>
            </w:pPr>
            <w:r>
              <w:rPr>
                <w:rFonts w:hint="eastAsia" w:ascii="宋体" w:hAnsi="宋体"/>
                <w:sz w:val="28"/>
                <w:szCs w:val="28"/>
              </w:rPr>
              <w:t xml:space="preserve">高 </w:t>
            </w:r>
            <w:r>
              <w:rPr>
                <w:rFonts w:ascii="宋体" w:hAnsi="宋体"/>
                <w:sz w:val="28"/>
                <w:szCs w:val="28"/>
              </w:rPr>
              <w:t xml:space="preserve"> </w:t>
            </w:r>
            <w:r>
              <w:rPr>
                <w:rFonts w:hint="eastAsia" w:ascii="宋体" w:hAnsi="宋体"/>
                <w:sz w:val="28"/>
                <w:szCs w:val="28"/>
              </w:rPr>
              <w:t>工</w:t>
            </w:r>
          </w:p>
        </w:tc>
        <w:tc>
          <w:tcPr>
            <w:tcW w:w="776" w:type="pct"/>
            <w:shd w:val="clear" w:color="auto" w:fill="auto"/>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445" w:type="pct"/>
            <w:vMerge w:val="continue"/>
            <w:shd w:val="clear" w:color="auto" w:fill="auto"/>
            <w:vAlign w:val="center"/>
          </w:tcPr>
          <w:p>
            <w:pPr>
              <w:spacing w:line="360" w:lineRule="auto"/>
              <w:jc w:val="center"/>
              <w:rPr>
                <w:rFonts w:ascii="宋体" w:hAnsi="宋体" w:cs="宋体"/>
                <w:sz w:val="28"/>
                <w:szCs w:val="28"/>
              </w:rPr>
            </w:pPr>
          </w:p>
        </w:tc>
        <w:tc>
          <w:tcPr>
            <w:tcW w:w="690" w:type="pct"/>
            <w:vMerge w:val="continue"/>
            <w:shd w:val="clear" w:color="auto" w:fill="auto"/>
            <w:vAlign w:val="center"/>
          </w:tcPr>
          <w:p>
            <w:pPr>
              <w:spacing w:line="360" w:lineRule="auto"/>
              <w:jc w:val="center"/>
              <w:rPr>
                <w:rFonts w:ascii="宋体" w:hAnsi="宋体" w:cs="宋体"/>
                <w:sz w:val="28"/>
                <w:szCs w:val="28"/>
              </w:rPr>
            </w:pPr>
          </w:p>
        </w:tc>
        <w:tc>
          <w:tcPr>
            <w:tcW w:w="498" w:type="pct"/>
            <w:shd w:val="clear" w:color="auto" w:fill="auto"/>
            <w:vAlign w:val="center"/>
          </w:tcPr>
          <w:p>
            <w:pPr>
              <w:spacing w:line="360" w:lineRule="auto"/>
              <w:jc w:val="center"/>
              <w:rPr>
                <w:rFonts w:ascii="宋体" w:hAnsi="宋体" w:cs="宋体"/>
                <w:sz w:val="28"/>
                <w:szCs w:val="28"/>
              </w:rPr>
            </w:pPr>
            <w:r>
              <w:rPr>
                <w:rFonts w:hint="eastAsia" w:ascii="宋体" w:hAnsi="宋体" w:cs="宋体"/>
                <w:sz w:val="28"/>
                <w:szCs w:val="28"/>
              </w:rPr>
              <w:t>毛春雷</w:t>
            </w:r>
          </w:p>
        </w:tc>
        <w:tc>
          <w:tcPr>
            <w:tcW w:w="1994" w:type="pct"/>
            <w:shd w:val="clear" w:color="auto" w:fill="auto"/>
            <w:vAlign w:val="center"/>
          </w:tcPr>
          <w:p>
            <w:pPr>
              <w:spacing w:line="360" w:lineRule="auto"/>
              <w:jc w:val="center"/>
              <w:rPr>
                <w:rFonts w:ascii="宋体" w:hAnsi="宋体"/>
                <w:sz w:val="28"/>
                <w:szCs w:val="28"/>
              </w:rPr>
            </w:pPr>
            <w:r>
              <w:rPr>
                <w:rFonts w:hint="eastAsia" w:ascii="宋体" w:hAnsi="宋体"/>
                <w:sz w:val="28"/>
                <w:szCs w:val="28"/>
              </w:rPr>
              <w:t>联合泰泽环境科技发展有限公司山东分公司</w:t>
            </w:r>
          </w:p>
        </w:tc>
        <w:tc>
          <w:tcPr>
            <w:tcW w:w="597" w:type="pct"/>
            <w:shd w:val="clear" w:color="auto" w:fill="auto"/>
            <w:vAlign w:val="center"/>
          </w:tcPr>
          <w:p>
            <w:pPr>
              <w:spacing w:line="360" w:lineRule="auto"/>
              <w:jc w:val="center"/>
              <w:rPr>
                <w:rFonts w:ascii="宋体" w:hAnsi="宋体"/>
                <w:sz w:val="28"/>
                <w:szCs w:val="28"/>
              </w:rPr>
            </w:pPr>
            <w:r>
              <w:rPr>
                <w:rFonts w:hint="eastAsia" w:ascii="宋体" w:hAnsi="宋体"/>
                <w:sz w:val="28"/>
                <w:szCs w:val="28"/>
              </w:rPr>
              <w:t xml:space="preserve">高 </w:t>
            </w:r>
            <w:r>
              <w:rPr>
                <w:rFonts w:ascii="宋体" w:hAnsi="宋体"/>
                <w:sz w:val="28"/>
                <w:szCs w:val="28"/>
              </w:rPr>
              <w:t xml:space="preserve"> </w:t>
            </w:r>
            <w:r>
              <w:rPr>
                <w:rFonts w:hint="eastAsia" w:ascii="宋体" w:hAnsi="宋体"/>
                <w:sz w:val="28"/>
                <w:szCs w:val="28"/>
              </w:rPr>
              <w:t>工</w:t>
            </w:r>
          </w:p>
        </w:tc>
        <w:tc>
          <w:tcPr>
            <w:tcW w:w="776" w:type="pct"/>
            <w:shd w:val="clear" w:color="auto" w:fill="auto"/>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445" w:type="pct"/>
            <w:vMerge w:val="continue"/>
            <w:shd w:val="clear" w:color="auto" w:fill="auto"/>
            <w:vAlign w:val="center"/>
          </w:tcPr>
          <w:p>
            <w:pPr>
              <w:spacing w:line="360" w:lineRule="auto"/>
              <w:jc w:val="center"/>
              <w:rPr>
                <w:rFonts w:ascii="宋体" w:hAnsi="宋体" w:cs="宋体"/>
                <w:sz w:val="28"/>
                <w:szCs w:val="28"/>
              </w:rPr>
            </w:pPr>
          </w:p>
        </w:tc>
        <w:tc>
          <w:tcPr>
            <w:tcW w:w="690" w:type="pct"/>
            <w:vMerge w:val="continue"/>
            <w:shd w:val="clear" w:color="auto" w:fill="auto"/>
            <w:vAlign w:val="center"/>
          </w:tcPr>
          <w:p>
            <w:pPr>
              <w:spacing w:line="360" w:lineRule="auto"/>
              <w:jc w:val="center"/>
              <w:rPr>
                <w:rFonts w:ascii="宋体" w:hAnsi="宋体" w:cs="宋体"/>
                <w:sz w:val="28"/>
                <w:szCs w:val="28"/>
              </w:rPr>
            </w:pPr>
          </w:p>
        </w:tc>
        <w:tc>
          <w:tcPr>
            <w:tcW w:w="498" w:type="pct"/>
            <w:shd w:val="clear" w:color="auto" w:fill="auto"/>
            <w:vAlign w:val="center"/>
          </w:tcPr>
          <w:p>
            <w:pPr>
              <w:spacing w:line="360" w:lineRule="auto"/>
              <w:jc w:val="center"/>
              <w:rPr>
                <w:rFonts w:ascii="宋体" w:hAnsi="宋体" w:cs="宋体"/>
                <w:sz w:val="28"/>
                <w:szCs w:val="28"/>
              </w:rPr>
            </w:pPr>
            <w:r>
              <w:rPr>
                <w:rFonts w:hint="eastAsia" w:ascii="宋体" w:hAnsi="宋体" w:cs="宋体"/>
                <w:sz w:val="28"/>
                <w:szCs w:val="28"/>
              </w:rPr>
              <w:t>谢连科</w:t>
            </w:r>
          </w:p>
        </w:tc>
        <w:tc>
          <w:tcPr>
            <w:tcW w:w="1994" w:type="pct"/>
            <w:shd w:val="clear" w:color="auto" w:fill="auto"/>
            <w:vAlign w:val="center"/>
          </w:tcPr>
          <w:p>
            <w:pPr>
              <w:spacing w:line="360" w:lineRule="auto"/>
              <w:jc w:val="center"/>
              <w:rPr>
                <w:rFonts w:ascii="宋体" w:hAnsi="宋体" w:cs="宋体"/>
                <w:sz w:val="28"/>
                <w:szCs w:val="28"/>
              </w:rPr>
            </w:pPr>
            <w:r>
              <w:rPr>
                <w:rFonts w:hint="eastAsia" w:ascii="宋体" w:hAnsi="宋体" w:cs="宋体"/>
                <w:sz w:val="28"/>
                <w:szCs w:val="28"/>
              </w:rPr>
              <w:t>山东电力科学研究院</w:t>
            </w:r>
          </w:p>
        </w:tc>
        <w:tc>
          <w:tcPr>
            <w:tcW w:w="597" w:type="pct"/>
            <w:shd w:val="clear" w:color="auto" w:fill="auto"/>
            <w:vAlign w:val="center"/>
          </w:tcPr>
          <w:p>
            <w:pPr>
              <w:spacing w:line="360" w:lineRule="auto"/>
              <w:jc w:val="center"/>
              <w:rPr>
                <w:rFonts w:ascii="宋体" w:hAnsi="宋体" w:cs="宋体"/>
                <w:sz w:val="28"/>
                <w:szCs w:val="28"/>
              </w:rPr>
            </w:pPr>
            <w:r>
              <w:rPr>
                <w:rFonts w:hint="eastAsia" w:ascii="宋体" w:hAnsi="宋体"/>
                <w:sz w:val="28"/>
                <w:szCs w:val="28"/>
              </w:rPr>
              <w:t xml:space="preserve">正 </w:t>
            </w:r>
            <w:r>
              <w:rPr>
                <w:rFonts w:ascii="宋体" w:hAnsi="宋体"/>
                <w:sz w:val="28"/>
                <w:szCs w:val="28"/>
              </w:rPr>
              <w:t xml:space="preserve"> </w:t>
            </w:r>
            <w:r>
              <w:rPr>
                <w:rFonts w:hint="eastAsia" w:ascii="宋体" w:hAnsi="宋体"/>
                <w:sz w:val="28"/>
                <w:szCs w:val="28"/>
              </w:rPr>
              <w:t>高</w:t>
            </w:r>
          </w:p>
        </w:tc>
        <w:tc>
          <w:tcPr>
            <w:tcW w:w="776" w:type="pct"/>
            <w:shd w:val="clear" w:color="auto" w:fill="auto"/>
            <w:vAlign w:val="center"/>
          </w:tcPr>
          <w:p>
            <w:pPr>
              <w:spacing w:line="360" w:lineRule="auto"/>
              <w:jc w:val="center"/>
              <w:rPr>
                <w:rFonts w:ascii="宋体" w:hAnsi="宋体" w:cs="宋体"/>
                <w:sz w:val="28"/>
                <w:szCs w:val="28"/>
              </w:rPr>
            </w:pPr>
          </w:p>
        </w:tc>
      </w:tr>
    </w:tbl>
    <w:p>
      <w:pPr>
        <w:widowControl/>
        <w:spacing w:line="360" w:lineRule="auto"/>
        <w:jc w:val="right"/>
        <w:rPr>
          <w:rFonts w:ascii="宋体" w:hAnsi="宋体" w:cs="宋体"/>
          <w:color w:val="000000"/>
          <w:sz w:val="24"/>
        </w:rPr>
      </w:pPr>
    </w:p>
    <w:sectPr>
      <w:pgSz w:w="16838" w:h="11906" w:orient="landscape"/>
      <w:pgMar w:top="1247" w:right="1417" w:bottom="124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164E08"/>
    <w:multiLevelType w:val="singleLevel"/>
    <w:tmpl w:val="95164E08"/>
    <w:lvl w:ilvl="0" w:tentative="0">
      <w:start w:val="1"/>
      <w:numFmt w:val="bullet"/>
      <w:pStyle w:val="3"/>
      <w:lvlText w:val=""/>
      <w:lvlJc w:val="left"/>
      <w:pPr>
        <w:tabs>
          <w:tab w:val="left" w:pos="2040"/>
        </w:tabs>
        <w:ind w:left="2040" w:hanging="360"/>
      </w:pPr>
      <w:rPr>
        <w:rFonts w:hint="default" w:ascii="Wingdings" w:hAnsi="Wingdings"/>
      </w:rPr>
    </w:lvl>
  </w:abstractNum>
  <w:abstractNum w:abstractNumId="1">
    <w:nsid w:val="4A83484A"/>
    <w:multiLevelType w:val="singleLevel"/>
    <w:tmpl w:val="4A83484A"/>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M2ZmVlOTMxNTMyMzU0N2UxMDgyZjg3ZDNmNjlhNzkifQ=="/>
    <w:docVar w:name="KSO_WPS_MARK_KEY" w:val="add9a922-051c-45de-b65d-21e1e9e073e7"/>
  </w:docVars>
  <w:rsids>
    <w:rsidRoot w:val="00B8565C"/>
    <w:rsid w:val="00013259"/>
    <w:rsid w:val="00015257"/>
    <w:rsid w:val="00025509"/>
    <w:rsid w:val="000579AA"/>
    <w:rsid w:val="000729BE"/>
    <w:rsid w:val="000A512D"/>
    <w:rsid w:val="000F2C36"/>
    <w:rsid w:val="000F2D8A"/>
    <w:rsid w:val="000F7501"/>
    <w:rsid w:val="0014261F"/>
    <w:rsid w:val="001501C3"/>
    <w:rsid w:val="001556FD"/>
    <w:rsid w:val="001D045D"/>
    <w:rsid w:val="00201069"/>
    <w:rsid w:val="002770E7"/>
    <w:rsid w:val="002B4844"/>
    <w:rsid w:val="00305AFF"/>
    <w:rsid w:val="00320AC3"/>
    <w:rsid w:val="0038140A"/>
    <w:rsid w:val="003A5696"/>
    <w:rsid w:val="003B173D"/>
    <w:rsid w:val="003E2E79"/>
    <w:rsid w:val="003E5AE1"/>
    <w:rsid w:val="00437A84"/>
    <w:rsid w:val="004A0E4C"/>
    <w:rsid w:val="004A492B"/>
    <w:rsid w:val="004C0E2E"/>
    <w:rsid w:val="004C594E"/>
    <w:rsid w:val="004C7A0B"/>
    <w:rsid w:val="004E3777"/>
    <w:rsid w:val="005627AA"/>
    <w:rsid w:val="00570497"/>
    <w:rsid w:val="005744F5"/>
    <w:rsid w:val="005809E9"/>
    <w:rsid w:val="005A3C82"/>
    <w:rsid w:val="005B6AD9"/>
    <w:rsid w:val="00605606"/>
    <w:rsid w:val="0061073C"/>
    <w:rsid w:val="006161CD"/>
    <w:rsid w:val="00642D4A"/>
    <w:rsid w:val="00667D00"/>
    <w:rsid w:val="006C12FF"/>
    <w:rsid w:val="0070098F"/>
    <w:rsid w:val="007121EE"/>
    <w:rsid w:val="00712EFB"/>
    <w:rsid w:val="00780FF5"/>
    <w:rsid w:val="007B36D8"/>
    <w:rsid w:val="007C772E"/>
    <w:rsid w:val="008A33B2"/>
    <w:rsid w:val="008F50AC"/>
    <w:rsid w:val="0094223C"/>
    <w:rsid w:val="009854A8"/>
    <w:rsid w:val="00A13BB1"/>
    <w:rsid w:val="00A16F2B"/>
    <w:rsid w:val="00A9391F"/>
    <w:rsid w:val="00AB77A2"/>
    <w:rsid w:val="00AD0530"/>
    <w:rsid w:val="00AE59C1"/>
    <w:rsid w:val="00B160A9"/>
    <w:rsid w:val="00B54844"/>
    <w:rsid w:val="00B6228C"/>
    <w:rsid w:val="00B77D3F"/>
    <w:rsid w:val="00B84432"/>
    <w:rsid w:val="00B8565C"/>
    <w:rsid w:val="00BA0354"/>
    <w:rsid w:val="00BB4BC7"/>
    <w:rsid w:val="00BC1B46"/>
    <w:rsid w:val="00C0178B"/>
    <w:rsid w:val="00C2780F"/>
    <w:rsid w:val="00C6709A"/>
    <w:rsid w:val="00CA619E"/>
    <w:rsid w:val="00D16BDA"/>
    <w:rsid w:val="00DA7012"/>
    <w:rsid w:val="00DE7FE6"/>
    <w:rsid w:val="00E07B9F"/>
    <w:rsid w:val="00E15269"/>
    <w:rsid w:val="00E22DF8"/>
    <w:rsid w:val="00E31F76"/>
    <w:rsid w:val="00E341A6"/>
    <w:rsid w:val="00E37514"/>
    <w:rsid w:val="00E5433B"/>
    <w:rsid w:val="00E75E76"/>
    <w:rsid w:val="00EF31BA"/>
    <w:rsid w:val="00F5668D"/>
    <w:rsid w:val="00F65735"/>
    <w:rsid w:val="00FE36E4"/>
    <w:rsid w:val="65B668E8"/>
    <w:rsid w:val="71FC5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styleId="3">
    <w:name w:val="List Bullet 5"/>
    <w:basedOn w:val="1"/>
    <w:uiPriority w:val="0"/>
    <w:pPr>
      <w:numPr>
        <w:ilvl w:val="0"/>
        <w:numId w:val="1"/>
      </w:numPr>
    </w:pPr>
  </w:style>
  <w:style w:type="paragraph" w:styleId="5">
    <w:name w:val="annotation text"/>
    <w:basedOn w:val="1"/>
    <w:link w:val="19"/>
    <w:qFormat/>
    <w:uiPriority w:val="0"/>
    <w:pPr>
      <w:jc w:val="left"/>
    </w:pPr>
  </w:style>
  <w:style w:type="paragraph" w:styleId="6">
    <w:name w:val="Plain Text"/>
    <w:basedOn w:val="1"/>
    <w:link w:val="17"/>
    <w:qFormat/>
    <w:uiPriority w:val="0"/>
    <w:pPr>
      <w:spacing w:line="380" w:lineRule="exact"/>
      <w:ind w:firstLine="570"/>
    </w:pPr>
    <w:rPr>
      <w:rFonts w:ascii="宋体" w:hAnsi="Courier New"/>
      <w:sz w:val="28"/>
      <w:szCs w:val="20"/>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annotation subject"/>
    <w:basedOn w:val="5"/>
    <w:next w:val="5"/>
    <w:link w:val="20"/>
    <w:qFormat/>
    <w:uiPriority w:val="0"/>
    <w:rPr>
      <w:b/>
      <w:bCs/>
    </w:rPr>
  </w:style>
  <w:style w:type="table" w:styleId="12">
    <w:name w:val="Table Grid"/>
    <w:basedOn w:val="11"/>
    <w:qFormat/>
    <w:uiPriority w:val="0"/>
    <w:pPr>
      <w:widowControl w:val="0"/>
      <w:jc w:val="both"/>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uiPriority w:val="0"/>
    <w:rPr>
      <w:sz w:val="21"/>
      <w:szCs w:val="21"/>
    </w:rPr>
  </w:style>
  <w:style w:type="character" w:customStyle="1" w:styleId="15">
    <w:name w:val="页眉 字符"/>
    <w:link w:val="8"/>
    <w:qFormat/>
    <w:uiPriority w:val="0"/>
    <w:rPr>
      <w:rFonts w:ascii="Calibri" w:hAnsi="Calibri" w:eastAsia="宋体" w:cs="黑体"/>
      <w:kern w:val="2"/>
      <w:sz w:val="18"/>
      <w:szCs w:val="18"/>
    </w:rPr>
  </w:style>
  <w:style w:type="character" w:customStyle="1" w:styleId="16">
    <w:name w:val="页脚 字符"/>
    <w:link w:val="7"/>
    <w:qFormat/>
    <w:uiPriority w:val="0"/>
    <w:rPr>
      <w:rFonts w:ascii="Calibri" w:hAnsi="Calibri" w:eastAsia="宋体" w:cs="黑体"/>
      <w:kern w:val="2"/>
      <w:sz w:val="18"/>
      <w:szCs w:val="18"/>
    </w:rPr>
  </w:style>
  <w:style w:type="character" w:customStyle="1" w:styleId="17">
    <w:name w:val="纯文本 字符"/>
    <w:link w:val="6"/>
    <w:locked/>
    <w:uiPriority w:val="0"/>
    <w:rPr>
      <w:rFonts w:ascii="宋体" w:hAnsi="Courier New" w:cs="黑体"/>
      <w:kern w:val="2"/>
      <w:sz w:val="28"/>
    </w:rPr>
  </w:style>
  <w:style w:type="character" w:customStyle="1" w:styleId="18">
    <w:name w:val="纯文本 字符2"/>
    <w:qFormat/>
    <w:locked/>
    <w:uiPriority w:val="0"/>
    <w:rPr>
      <w:rFonts w:ascii="宋体" w:hAnsi="Courier New" w:eastAsia="宋体" w:cs="Courier New"/>
      <w:kern w:val="2"/>
      <w:sz w:val="21"/>
      <w:szCs w:val="21"/>
      <w:lang w:val="en-US" w:eastAsia="zh-CN" w:bidi="ar-SA"/>
    </w:rPr>
  </w:style>
  <w:style w:type="character" w:customStyle="1" w:styleId="19">
    <w:name w:val="批注文字 字符"/>
    <w:link w:val="5"/>
    <w:qFormat/>
    <w:uiPriority w:val="0"/>
    <w:rPr>
      <w:rFonts w:ascii="Calibri" w:hAnsi="Calibri" w:cs="黑体"/>
      <w:kern w:val="2"/>
      <w:sz w:val="21"/>
      <w:szCs w:val="24"/>
    </w:rPr>
  </w:style>
  <w:style w:type="character" w:customStyle="1" w:styleId="20">
    <w:name w:val="批注主题 字符"/>
    <w:link w:val="10"/>
    <w:qFormat/>
    <w:uiPriority w:val="0"/>
    <w:rPr>
      <w:rFonts w:ascii="Calibri" w:hAnsi="Calibri" w:cs="黑体"/>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1079</Words>
  <Characters>1159</Characters>
  <Lines>17</Lines>
  <Paragraphs>4</Paragraphs>
  <TotalTime>4</TotalTime>
  <ScaleCrop>false</ScaleCrop>
  <LinksUpToDate>false</LinksUpToDate>
  <CharactersWithSpaces>1230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2021-07-28T12:03:00Z</dcterms:created>
  <dc:creator>城乡融合集团土壤修复部</dc:creator>
  <cp:lastModifiedBy>Administrator</cp:lastModifiedBy>
  <dcterms:modified xsi:type="dcterms:W3CDTF">2023-04-07T02:04:57Z</dcterms:modified>
  <dc:title>山东鼎盛无损检测有限公司192Irγ射线探伤机移动探伤项目</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4B661947CA9044D5842AAB7050F9BB94_13</vt:lpwstr>
  </property>
</Properties>
</file>